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Апелляционное определение Челябинского областного суда от 11.08.2022 N 11-9516/2022 по делу N 2-627/2022</w:t>
      </w:r>
    </w:p>
    <w:p>
      <w:pPr>
        <w:pStyle w:val="0"/>
        <w:jc w:val="both"/>
      </w:pPr>
      <w:r>
        <w:rPr>
          <w:sz w:val="20"/>
        </w:rPr>
        <w:t xml:space="preserve">Категория спора: Причинение вреда имуществу.</w:t>
      </w:r>
    </w:p>
    <w:p>
      <w:pPr>
        <w:pStyle w:val="0"/>
        <w:jc w:val="both"/>
      </w:pPr>
      <w:r>
        <w:rPr>
          <w:sz w:val="20"/>
        </w:rPr>
        <w:t xml:space="preserve">Требования потерпевшего: О возмещении реального ущерба в связи с ДТП.</w:t>
      </w:r>
    </w:p>
    <w:p>
      <w:pPr>
        <w:pStyle w:val="0"/>
        <w:jc w:val="both"/>
      </w:pPr>
      <w:r>
        <w:rPr>
          <w:sz w:val="20"/>
        </w:rPr>
        <w:t xml:space="preserve">Обстоятельства: Истец указал на то, что, поскольку суммы выплаченного страхового возмещения недостаточно для возмещения ущерба в полном объеме, ущерб в невозмещенной сумме подлежит взысканию с ответчика.</w:t>
      </w:r>
    </w:p>
    <w:p>
      <w:pPr>
        <w:pStyle w:val="0"/>
        <w:jc w:val="both"/>
      </w:pPr>
      <w:r>
        <w:rPr>
          <w:sz w:val="20"/>
        </w:rPr>
        <w:t xml:space="preserve">Решение: Удовлетворено.</w:t>
      </w:r>
    </w:p>
    <w:p>
      <w:pPr>
        <w:pStyle w:val="0"/>
        <w:jc w:val="both"/>
      </w:pPr>
      <w:r>
        <w:rPr>
          <w:sz w:val="20"/>
        </w:rPr>
        <w:t xml:space="preserve">Процессуальные вопросы: О возмещении расходов на проведение экспертизы - удовлетворено в части.</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jc w:val="both"/>
      </w:pPr>
      <w:r>
        <w:rPr>
          <w:sz w:val="20"/>
        </w:rPr>
        <w:t xml:space="preserve">Определением</w:t>
      </w:r>
      <w:r>
        <w:rPr>
          <w:sz w:val="20"/>
        </w:rPr>
        <w:t xml:space="preserve"> Седьмого кассационного суда общей юрисдикции от 01.12.2022 N 88-17787/2022 данное определение оставлено без изменения.</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outlineLvl w:val="0"/>
        <w:jc w:val="center"/>
      </w:pPr>
      <w:r>
        <w:rPr>
          <w:sz w:val="20"/>
        </w:rPr>
        <w:t xml:space="preserve">ЧЕЛЯБИНСКИЙ ОБЛАСТНОЙ СУД</w:t>
      </w:r>
    </w:p>
    <w:p>
      <w:pPr>
        <w:pStyle w:val="2"/>
        <w:jc w:val="center"/>
      </w:pPr>
      <w:r>
        <w:rPr>
          <w:sz w:val="20"/>
        </w:rPr>
      </w:r>
    </w:p>
    <w:p>
      <w:pPr>
        <w:pStyle w:val="2"/>
        <w:jc w:val="center"/>
      </w:pPr>
      <w:r>
        <w:rPr>
          <w:sz w:val="20"/>
        </w:rPr>
        <w:t xml:space="preserve">АПЕЛЛЯЦИОННОЕ ОПРЕДЕЛЕНИЕ</w:t>
      </w:r>
    </w:p>
    <w:p>
      <w:pPr>
        <w:pStyle w:val="2"/>
        <w:jc w:val="center"/>
      </w:pPr>
      <w:r>
        <w:rPr>
          <w:sz w:val="20"/>
        </w:rPr>
        <w:t xml:space="preserve">от 11 августа 2022 г. N 11-9516/2022</w:t>
      </w:r>
    </w:p>
    <w:p>
      <w:pPr>
        <w:pStyle w:val="0"/>
        <w:ind w:firstLine="54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судья Нечаев П.В.</w:t>
            </w:r>
          </w:p>
        </w:tc>
        <w:tc>
          <w:tcPr>
            <w:tcW w:w="5103" w:type="dxa"/>
            <w:tcBorders>
              <w:top w:val="nil"/>
              <w:left w:val="nil"/>
              <w:bottom w:val="nil"/>
              <w:right w:val="nil"/>
            </w:tcBorders>
          </w:tcPr>
          <w:p>
            <w:pPr>
              <w:pStyle w:val="0"/>
              <w:jc w:val="right"/>
            </w:pPr>
            <w:r>
              <w:rPr>
                <w:sz w:val="20"/>
              </w:rPr>
              <w:t xml:space="preserve">Дело N 2-627/2022</w:t>
            </w:r>
          </w:p>
        </w:tc>
      </w:tr>
    </w:tbl>
    <w:p>
      <w:pPr>
        <w:pStyle w:val="0"/>
        <w:spacing w:before="200" w:line-rule="auto"/>
        <w:ind w:firstLine="540"/>
        <w:jc w:val="both"/>
      </w:pPr>
      <w:r>
        <w:rPr>
          <w:sz w:val="20"/>
        </w:rPr>
        <w:t xml:space="preserve">Судебная коллегия по гражданским делам Челябинского областного суда в составе:</w:t>
      </w:r>
    </w:p>
    <w:p>
      <w:pPr>
        <w:pStyle w:val="0"/>
        <w:spacing w:before="200" w:line-rule="auto"/>
        <w:ind w:firstLine="540"/>
        <w:jc w:val="both"/>
      </w:pPr>
      <w:r>
        <w:rPr>
          <w:sz w:val="20"/>
        </w:rPr>
        <w:t xml:space="preserve">председательствующего Белых А.А.,</w:t>
      </w:r>
    </w:p>
    <w:p>
      <w:pPr>
        <w:pStyle w:val="0"/>
        <w:spacing w:before="200" w:line-rule="auto"/>
        <w:ind w:firstLine="540"/>
        <w:jc w:val="both"/>
      </w:pPr>
      <w:r>
        <w:rPr>
          <w:sz w:val="20"/>
        </w:rPr>
        <w:t xml:space="preserve">судей Саранчук Е.Ю., Знамеровского Р.В.,</w:t>
      </w:r>
    </w:p>
    <w:p>
      <w:pPr>
        <w:pStyle w:val="0"/>
        <w:spacing w:before="200" w:line-rule="auto"/>
        <w:ind w:firstLine="540"/>
        <w:jc w:val="both"/>
      </w:pPr>
      <w:r>
        <w:rPr>
          <w:sz w:val="20"/>
        </w:rPr>
        <w:t xml:space="preserve">при ведении протокола</w:t>
      </w:r>
    </w:p>
    <w:p>
      <w:pPr>
        <w:pStyle w:val="0"/>
        <w:spacing w:before="200" w:line-rule="auto"/>
        <w:ind w:firstLine="540"/>
        <w:jc w:val="both"/>
      </w:pPr>
      <w:r>
        <w:rPr>
          <w:sz w:val="20"/>
        </w:rPr>
        <w:t xml:space="preserve">помощником судьи Дмитриевой А.В.,</w:t>
      </w:r>
    </w:p>
    <w:p>
      <w:pPr>
        <w:pStyle w:val="0"/>
        <w:spacing w:before="200" w:line-rule="auto"/>
        <w:ind w:firstLine="540"/>
        <w:jc w:val="both"/>
      </w:pPr>
      <w:r>
        <w:rPr>
          <w:sz w:val="20"/>
        </w:rPr>
        <w:t xml:space="preserve">рассмотрела в открытом судебном заседании в зале суда гражданское дело по апелляционной жалобе Р. на </w:t>
      </w:r>
      <w:r>
        <w:rPr>
          <w:sz w:val="20"/>
        </w:rPr>
        <w:t xml:space="preserve">решение</w:t>
      </w:r>
      <w:r>
        <w:rPr>
          <w:sz w:val="20"/>
        </w:rPr>
        <w:t xml:space="preserve"> Миасского городского суда Челябинской области от 05 мая 2022 года по исковому заявлению К.А. к Р. о возмещении ущерба, причиненного в результате дорожно-транспортного происшествия.</w:t>
      </w:r>
    </w:p>
    <w:p>
      <w:pPr>
        <w:pStyle w:val="0"/>
        <w:spacing w:before="200" w:line-rule="auto"/>
        <w:ind w:firstLine="540"/>
        <w:jc w:val="both"/>
      </w:pPr>
      <w:r>
        <w:rPr>
          <w:sz w:val="20"/>
        </w:rPr>
        <w:t xml:space="preserve">Заслушав доклад судьи Знамеровского Р.В. по обстоятельствам дела и доводах апелляционной жалобы, выслушав объяснения представителя ответчика Р. - У., настаивавшей на доводах апелляционной жалобы, судебная коллегия</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К.А. обратилась в суд с исковым заявлением к Р. о взыскании в счет возмещения ущерба 113 555 руб., расходов на оплату независимой экспертизы 13 100 руб., расходов по уплате государственной пошлины 3663 руб.</w:t>
      </w:r>
    </w:p>
    <w:p>
      <w:pPr>
        <w:pStyle w:val="0"/>
        <w:spacing w:before="200" w:line-rule="auto"/>
        <w:ind w:firstLine="540"/>
        <w:jc w:val="both"/>
      </w:pPr>
      <w:r>
        <w:rPr>
          <w:sz w:val="20"/>
        </w:rPr>
        <w:t xml:space="preserve">Требования мотивированы тем, что ДД.ММ.ГГГГ автомобилю истца, государственный регистрационный знак N, причинены повреждения в результате дорожно-транспортного происшествия, виновником которого является Р. Полагает, что разница между суммой ущерба и выплаченным страховым возмещением подлежит взысканию с ответчика.</w:t>
      </w:r>
    </w:p>
    <w:p>
      <w:pPr>
        <w:pStyle w:val="0"/>
        <w:spacing w:before="200" w:line-rule="auto"/>
        <w:ind w:firstLine="540"/>
        <w:jc w:val="both"/>
      </w:pPr>
      <w:r>
        <w:rPr>
          <w:sz w:val="20"/>
        </w:rPr>
        <w:t xml:space="preserve">Решением районного суда иск К.А. был удовлетворен частично, с Р. в пользу истца взыскано в счет возмещения ущерба 113 555 руб., расходы на оплату независимой экспертизы в сумме 11600 руб., расходы по оплате госпошлины в размере 3471,10 руб. В удовлетворении остальной части исковых требований К.А. о взыскании судебных расходов отказано. Судом постановлено возвратить К.А. излишне уплаченную государственную пошлину в размере 261,90 руб.</w:t>
      </w:r>
    </w:p>
    <w:p>
      <w:pPr>
        <w:pStyle w:val="0"/>
        <w:spacing w:before="200" w:line-rule="auto"/>
        <w:ind w:firstLine="540"/>
        <w:jc w:val="both"/>
      </w:pPr>
      <w:r>
        <w:rPr>
          <w:sz w:val="20"/>
        </w:rPr>
        <w:t xml:space="preserve">В апелляционной жалобе Р. просит отменить решение суда, вынести по делу новое решение. Считает, что взысканная сумма без учета износа ведет к неосновательному обогащению истца за счет ответчика, что недопустимо.</w:t>
      </w:r>
    </w:p>
    <w:p>
      <w:pPr>
        <w:pStyle w:val="0"/>
        <w:spacing w:before="200" w:line-rule="auto"/>
        <w:ind w:firstLine="540"/>
        <w:jc w:val="both"/>
      </w:pPr>
      <w:r>
        <w:rPr>
          <w:sz w:val="20"/>
        </w:rPr>
        <w:t xml:space="preserve">В возражениях на апелляционную жалобу третье лицо К.И. просит решение суда оставить без изменения, апелляционную жалобу без удовлетворения. Указывает, что судом учтено, что взысканная сумма соответствует размеру расходов на восстановительный ремонт автомобиля потерпевшего, исчисленной в соответствии с Единой методикой, что подтверждается материалами выплатного дела. Сумма ущерба, подлежащая взысканию с ответчика определена как разница между стоимостью восстановительного ремонта автомобиля истца в соответствии со среднерыночными ценами без учета износа и стоимостью восстановительного ремонта с применением Единой методики с учетом износа.</w:t>
      </w:r>
    </w:p>
    <w:p>
      <w:pPr>
        <w:pStyle w:val="0"/>
        <w:spacing w:before="200" w:line-rule="auto"/>
        <w:ind w:firstLine="540"/>
        <w:jc w:val="both"/>
      </w:pPr>
      <w:r>
        <w:rPr>
          <w:sz w:val="20"/>
        </w:rPr>
        <w:t xml:space="preserve">Иные лица, участвующие в деле в суд апелляционной инстанции не явились, о времени и месте рассмотрения дела извещены надлежащим образом. Истец К.А., ответчик Р., третье лицо К.И. просили дело рассмотреть в свое отсутствие (л.д. 190-192). Судебная коллегия, в соответствии с положениями </w:t>
      </w:r>
      <w:r>
        <w:rPr>
          <w:sz w:val="20"/>
        </w:rPr>
        <w:t xml:space="preserve">статей 167</w:t>
      </w:r>
      <w:r>
        <w:rPr>
          <w:sz w:val="20"/>
        </w:rPr>
        <w:t xml:space="preserve">, </w:t>
      </w:r>
      <w:r>
        <w:rPr>
          <w:sz w:val="20"/>
        </w:rPr>
        <w:t xml:space="preserve">327</w:t>
      </w:r>
      <w:r>
        <w:rPr>
          <w:sz w:val="20"/>
        </w:rPr>
        <w:t xml:space="preserve"> Гражданского процессуального кодекса Российской Федерации, сочла возможным рассмотреть дело в их отсутствие.</w:t>
      </w:r>
    </w:p>
    <w:p>
      <w:pPr>
        <w:pStyle w:val="0"/>
        <w:spacing w:before="200" w:line-rule="auto"/>
        <w:ind w:firstLine="540"/>
        <w:jc w:val="both"/>
      </w:pPr>
      <w:r>
        <w:rPr>
          <w:sz w:val="20"/>
        </w:rPr>
        <w:t xml:space="preserve">В соответствии с </w:t>
      </w:r>
      <w:r>
        <w:rPr>
          <w:sz w:val="20"/>
        </w:rPr>
        <w:t xml:space="preserve">пунктом 1 статьи 327.1</w:t>
      </w:r>
      <w:r>
        <w:rPr>
          <w:sz w:val="20"/>
        </w:rPr>
        <w:t xml:space="preserve"> Гражданского процессуального кодекса Российской Федерации суд апелляционной инстанции рассматривает дело в пределах доводов, изложенных в апелляционных жалобе, представлении и возражениях относительно жалобы, представления.</w:t>
      </w:r>
    </w:p>
    <w:p>
      <w:pPr>
        <w:pStyle w:val="0"/>
        <w:spacing w:before="200" w:line-rule="auto"/>
        <w:ind w:firstLine="540"/>
        <w:jc w:val="both"/>
      </w:pPr>
      <w:r>
        <w:rPr>
          <w:sz w:val="20"/>
        </w:rPr>
        <w:t xml:space="preserve">Выслушав представителя ответчика, проверив материалы дела, обсудив доводы апелляционной жалобы, возражений относительно нее, судебная коллегия приходит к следующему.</w:t>
      </w:r>
    </w:p>
    <w:p>
      <w:pPr>
        <w:pStyle w:val="0"/>
        <w:spacing w:before="200" w:line-rule="auto"/>
        <w:ind w:firstLine="540"/>
        <w:jc w:val="both"/>
      </w:pPr>
      <w:r>
        <w:rPr>
          <w:sz w:val="20"/>
        </w:rPr>
        <w:t xml:space="preserve">Как следует из материалов дела и установлено судом, истец является собственником автомобиля, государственный регистрационный знак N.</w:t>
      </w:r>
    </w:p>
    <w:p>
      <w:pPr>
        <w:pStyle w:val="0"/>
        <w:spacing w:before="200" w:line-rule="auto"/>
        <w:ind w:firstLine="540"/>
        <w:jc w:val="both"/>
      </w:pPr>
      <w:r>
        <w:rPr>
          <w:sz w:val="20"/>
        </w:rPr>
        <w:t xml:space="preserve">ДД.ММ.ГГГГ в водитель автомобиля, с государственным регистрационным знаком N, Р. совершил столкновение с остановившимся впереди автомобилем, государственный регистрационный знак N, под управлением В., после чего сместилась вперед и совершила столкновение с автомобилем, государственный регистрационный знак N, под управлением К.И., в результате которого автомобилям причинены повреждения.</w:t>
      </w:r>
    </w:p>
    <w:p>
      <w:pPr>
        <w:pStyle w:val="0"/>
        <w:spacing w:before="200" w:line-rule="auto"/>
        <w:ind w:firstLine="540"/>
        <w:jc w:val="both"/>
      </w:pPr>
      <w:r>
        <w:rPr>
          <w:sz w:val="20"/>
        </w:rPr>
        <w:t xml:space="preserve">Виновником аварии является Р., что не оспаривалось в судебном заседании сторонами.</w:t>
      </w:r>
    </w:p>
    <w:p>
      <w:pPr>
        <w:pStyle w:val="0"/>
        <w:spacing w:before="200" w:line-rule="auto"/>
        <w:ind w:firstLine="540"/>
        <w:jc w:val="both"/>
      </w:pPr>
      <w:r>
        <w:rPr>
          <w:sz w:val="20"/>
        </w:rPr>
        <w:t xml:space="preserve">На момент столкновения риск гражданской ответственности истца был застрахован в ПАО "Аско".</w:t>
      </w:r>
    </w:p>
    <w:p>
      <w:pPr>
        <w:pStyle w:val="0"/>
        <w:spacing w:before="200" w:line-rule="auto"/>
        <w:ind w:firstLine="540"/>
        <w:jc w:val="both"/>
      </w:pPr>
      <w:r>
        <w:rPr>
          <w:sz w:val="20"/>
        </w:rPr>
        <w:t xml:space="preserve">В ходе рассмотрения обращения в страховую компанию между истцом и ПАО "Аско" было заключено соглашение о страховом возмещении по договору ОСАГО в форме страховой выплаты, размер страхового возмещения был определен в сумме 111300 руб. и выплачен страховой компанией истцу.</w:t>
      </w:r>
    </w:p>
    <w:p>
      <w:pPr>
        <w:pStyle w:val="0"/>
        <w:spacing w:before="200" w:line-rule="auto"/>
        <w:ind w:firstLine="540"/>
        <w:jc w:val="both"/>
      </w:pPr>
      <w:r>
        <w:rPr>
          <w:sz w:val="20"/>
        </w:rPr>
        <w:t xml:space="preserve">26 ноября 2021 года ПАО "Аско" выплатило истцу страховое возмещение в сумме 111 300 руб.</w:t>
      </w:r>
    </w:p>
    <w:p>
      <w:pPr>
        <w:pStyle w:val="0"/>
        <w:spacing w:before="200" w:line-rule="auto"/>
        <w:ind w:firstLine="540"/>
        <w:jc w:val="both"/>
      </w:pPr>
      <w:r>
        <w:rPr>
          <w:sz w:val="20"/>
        </w:rPr>
        <w:t xml:space="preserve">Согласно заключению ООО "Страховая выплата" N 21-12-6/21 от 24 декабря 2021 года стоимость восстановительного ремонта автомобиля истца без учета износа по среднерыночным ценам составляет 224 855 руб.</w:t>
      </w:r>
    </w:p>
    <w:p>
      <w:pPr>
        <w:pStyle w:val="0"/>
        <w:spacing w:before="200" w:line-rule="auto"/>
        <w:ind w:firstLine="540"/>
        <w:jc w:val="both"/>
      </w:pPr>
      <w:r>
        <w:rPr>
          <w:sz w:val="20"/>
        </w:rPr>
        <w:t xml:space="preserve">В судебном заседании суда первой инстанции сторонами не заявлялось ходатайство о проведении по делу судебной экспертизы, доказательства иного размера ущерба не были представлены.</w:t>
      </w:r>
    </w:p>
    <w:p>
      <w:pPr>
        <w:pStyle w:val="0"/>
        <w:spacing w:before="200" w:line-rule="auto"/>
        <w:ind w:firstLine="540"/>
        <w:jc w:val="both"/>
      </w:pPr>
      <w:r>
        <w:rPr>
          <w:sz w:val="20"/>
        </w:rPr>
        <w:t xml:space="preserve">Суд первой инстанции, руководствуясь положениями </w:t>
      </w:r>
      <w:r>
        <w:rPr>
          <w:sz w:val="20"/>
        </w:rPr>
        <w:t xml:space="preserve">статей 15</w:t>
      </w:r>
      <w:r>
        <w:rPr>
          <w:sz w:val="20"/>
        </w:rPr>
        <w:t xml:space="preserve">, </w:t>
      </w:r>
      <w:r>
        <w:rPr>
          <w:sz w:val="20"/>
        </w:rPr>
        <w:t xml:space="preserve">931</w:t>
      </w:r>
      <w:r>
        <w:rPr>
          <w:sz w:val="20"/>
        </w:rPr>
        <w:t xml:space="preserve">, </w:t>
      </w:r>
      <w:r>
        <w:rPr>
          <w:sz w:val="20"/>
        </w:rPr>
        <w:t xml:space="preserve">1064</w:t>
      </w:r>
      <w:r>
        <w:rPr>
          <w:sz w:val="20"/>
        </w:rPr>
        <w:t xml:space="preserve">, </w:t>
      </w:r>
      <w:r>
        <w:rPr>
          <w:sz w:val="20"/>
        </w:rPr>
        <w:t xml:space="preserve">1079</w:t>
      </w:r>
      <w:r>
        <w:rPr>
          <w:sz w:val="20"/>
        </w:rPr>
        <w:t xml:space="preserve"> Гражданского кодекса Российской Федерации, нормами </w:t>
      </w:r>
      <w:r>
        <w:rPr>
          <w:sz w:val="20"/>
        </w:rPr>
        <w:t xml:space="preserve">Закона</w:t>
      </w:r>
      <w:r>
        <w:rPr>
          <w:sz w:val="20"/>
        </w:rPr>
        <w:t xml:space="preserve"> об ОСАГО, оценив представленные сторонами в материалы дела доказательства в отдельности, а также в их совокупности и взаимосвязи по правилам </w:t>
      </w:r>
      <w:r>
        <w:rPr>
          <w:sz w:val="20"/>
        </w:rPr>
        <w:t xml:space="preserve">статей 56</w:t>
      </w:r>
      <w:r>
        <w:rPr>
          <w:sz w:val="20"/>
        </w:rPr>
        <w:t xml:space="preserve">, </w:t>
      </w:r>
      <w:r>
        <w:rPr>
          <w:sz w:val="20"/>
        </w:rPr>
        <w:t xml:space="preserve">67</w:t>
      </w:r>
      <w:r>
        <w:rPr>
          <w:sz w:val="20"/>
        </w:rPr>
        <w:t xml:space="preserve"> Гражданского процессуального кодекса Российской Федерации, установил, что между ПАО "Аско" и истцом заключено соглашение о страховой выплате в денежной форме, размер которой ответчиком не оспорен, а лицом, ответственным за причинение ущерба является Р. с учетом установленных обстоятельств, суд первой инстанции пришел к выводу о наличии правовых оснований для взыскания с Р. как непосредственного причинителя вреда убытков, составляющих разность между расчетной стоимостью восстановительного ремонта и полученным истцом страховым возмещением.</w:t>
      </w:r>
    </w:p>
    <w:p>
      <w:pPr>
        <w:pStyle w:val="0"/>
        <w:spacing w:before="200" w:line-rule="auto"/>
        <w:ind w:firstLine="540"/>
        <w:jc w:val="both"/>
      </w:pPr>
      <w:r>
        <w:rPr>
          <w:sz w:val="20"/>
        </w:rPr>
        <w:t xml:space="preserve">Судебная коллегия соглашается с перечисленными выше выводами суда первой инстанции, поскольку они являются мотивированными, основанными на полной и всесторонней оценке представленных сторонами доказательств в соответствии с требованиями </w:t>
      </w:r>
      <w:r>
        <w:rPr>
          <w:sz w:val="20"/>
        </w:rPr>
        <w:t xml:space="preserve">статей 56</w:t>
      </w:r>
      <w:r>
        <w:rPr>
          <w:sz w:val="20"/>
        </w:rPr>
        <w:t xml:space="preserve">, </w:t>
      </w:r>
      <w:r>
        <w:rPr>
          <w:sz w:val="20"/>
        </w:rPr>
        <w:t xml:space="preserve">67</w:t>
      </w:r>
      <w:r>
        <w:rPr>
          <w:sz w:val="20"/>
        </w:rPr>
        <w:t xml:space="preserve">, </w:t>
      </w:r>
      <w:r>
        <w:rPr>
          <w:sz w:val="20"/>
        </w:rPr>
        <w:t xml:space="preserve">198</w:t>
      </w:r>
      <w:r>
        <w:rPr>
          <w:sz w:val="20"/>
        </w:rPr>
        <w:t xml:space="preserve"> Гражданского процессуального кодекса Российской Федерации, а также на правильном применении норм права, регулирующих спорные правоотношения, учитывая характер этих правоотношений и конкретные обстоятельства дела.</w:t>
      </w:r>
    </w:p>
    <w:p>
      <w:pPr>
        <w:pStyle w:val="0"/>
        <w:spacing w:before="200" w:line-rule="auto"/>
        <w:ind w:firstLine="540"/>
        <w:jc w:val="both"/>
      </w:pPr>
      <w:r>
        <w:rPr>
          <w:sz w:val="20"/>
        </w:rPr>
        <w:t xml:space="preserve">Доводы апелляционной жалобы Р. судебной коллегией признаются несостоятельными по следующим основаниям.</w:t>
      </w:r>
    </w:p>
    <w:p>
      <w:pPr>
        <w:pStyle w:val="0"/>
        <w:spacing w:before="200" w:line-rule="auto"/>
        <w:ind w:firstLine="540"/>
        <w:jc w:val="both"/>
      </w:pPr>
      <w:r>
        <w:rPr>
          <w:sz w:val="20"/>
        </w:rPr>
        <w:t xml:space="preserve">Подпунктом "ж" пункта 16.1 статьи 12</w:t>
      </w:r>
      <w:r>
        <w:rPr>
          <w:sz w:val="20"/>
        </w:rPr>
        <w:t xml:space="preserve"> Федерального закона от 25 апреля 2002 года N 40-ФЗ "Об обязательном страховании гражданской ответственности владельцев транспортных средств" (далее - Закон об ОСАГО) установлено, что страховое возмещение в денежной форме может быть выплачено при наличии соглашения об этом в письменной форме между страховщиком и потерпевшим (выгодоприобретателем).</w:t>
      </w:r>
    </w:p>
    <w:p>
      <w:pPr>
        <w:pStyle w:val="0"/>
        <w:spacing w:before="200" w:line-rule="auto"/>
        <w:ind w:firstLine="540"/>
        <w:jc w:val="both"/>
      </w:pPr>
      <w:r>
        <w:rPr>
          <w:sz w:val="20"/>
        </w:rPr>
        <w:t xml:space="preserve">В то же время </w:t>
      </w:r>
      <w:r>
        <w:rPr>
          <w:sz w:val="20"/>
        </w:rPr>
        <w:t xml:space="preserve">пунктом 1 статьи 15</w:t>
      </w:r>
      <w:r>
        <w:rPr>
          <w:sz w:val="20"/>
        </w:rPr>
        <w:t xml:space="preserve"> Гражданского кодекса Российской Федерации установлено, что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w:t>
      </w:r>
    </w:p>
    <w:p>
      <w:pPr>
        <w:pStyle w:val="0"/>
        <w:spacing w:before="200" w:line-rule="auto"/>
        <w:ind w:firstLine="540"/>
        <w:jc w:val="both"/>
      </w:pPr>
      <w:r>
        <w:rPr>
          <w:sz w:val="20"/>
        </w:rPr>
        <w:t xml:space="preserve">Согласно позиции, изложенной в </w:t>
      </w:r>
      <w:r>
        <w:rPr>
          <w:sz w:val="20"/>
        </w:rPr>
        <w:t xml:space="preserve">пункте 9</w:t>
      </w:r>
      <w:r>
        <w:rPr>
          <w:sz w:val="20"/>
        </w:rPr>
        <w:t xml:space="preserve"> Обзора судебной практики Верховного Суда Российской Федерации N 2 (2021), утвержденного Президиумом Верховного Суда Российской Федерации 30 июня 2021 года, потерпевший в дорожно-транспортном происшествии, получивший страховое возмещение в денежной форме на основании </w:t>
      </w:r>
      <w:r>
        <w:rPr>
          <w:sz w:val="20"/>
        </w:rPr>
        <w:t xml:space="preserve">подпункта "ж" пункта 16.1 статьи 12</w:t>
      </w:r>
      <w:r>
        <w:rPr>
          <w:sz w:val="20"/>
        </w:rPr>
        <w:t xml:space="preserve"> Закона об ОСАГО, вправе требовать возмещения ущерба с причинителя вреда в части, не покрытой страховым возмещением.</w:t>
      </w:r>
    </w:p>
    <w:p>
      <w:pPr>
        <w:pStyle w:val="0"/>
        <w:spacing w:before="200" w:line-rule="auto"/>
        <w:ind w:firstLine="540"/>
        <w:jc w:val="both"/>
      </w:pPr>
      <w:r>
        <w:rPr>
          <w:sz w:val="20"/>
        </w:rPr>
        <w:t xml:space="preserve">Согласно </w:t>
      </w:r>
      <w:r>
        <w:rPr>
          <w:sz w:val="20"/>
        </w:rPr>
        <w:t xml:space="preserve">статье 1072</w:t>
      </w:r>
      <w:r>
        <w:rPr>
          <w:sz w:val="20"/>
        </w:rPr>
        <w:t xml:space="preserve"> Гражданского кодекса Российской Федерации юридическое лицо или гражданин, застраховавшие свою ответственность в порядке добровольного или обязательного страхования в пользу потерпевшего (</w:t>
      </w:r>
      <w:r>
        <w:rPr>
          <w:sz w:val="20"/>
        </w:rPr>
        <w:t xml:space="preserve">статья 931</w:t>
      </w:r>
      <w:r>
        <w:rPr>
          <w:sz w:val="20"/>
        </w:rPr>
        <w:t xml:space="preserve">, </w:t>
      </w:r>
      <w:r>
        <w:rPr>
          <w:sz w:val="20"/>
        </w:rPr>
        <w:t xml:space="preserve">пункт 1 статьи 935</w:t>
      </w:r>
      <w:r>
        <w:rPr>
          <w:sz w:val="20"/>
        </w:rPr>
        <w:t xml:space="preserve">),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
    <w:p>
      <w:pPr>
        <w:pStyle w:val="0"/>
        <w:spacing w:before="200" w:line-rule="auto"/>
        <w:outlineLvl w:val="1"/>
        <w:ind w:firstLine="540"/>
        <w:jc w:val="both"/>
      </w:pPr>
      <w:r>
        <w:rPr>
          <w:sz w:val="20"/>
        </w:rPr>
        <w:t xml:space="preserve">Согласно </w:t>
      </w:r>
      <w:r>
        <w:rPr>
          <w:sz w:val="20"/>
        </w:rPr>
        <w:t xml:space="preserve">Постановлению</w:t>
      </w:r>
      <w:r>
        <w:rPr>
          <w:sz w:val="20"/>
        </w:rPr>
        <w:t xml:space="preserve"> Конституционного Суда Российской Федерации от 10 марта 2017 года N 6-П </w:t>
      </w:r>
      <w:r>
        <w:rPr>
          <w:sz w:val="20"/>
        </w:rPr>
        <w:t xml:space="preserve">Закон</w:t>
      </w:r>
      <w:r>
        <w:rPr>
          <w:sz w:val="20"/>
        </w:rPr>
        <w:t xml:space="preserve"> об ОСАГО как специальный нормативный правовой акт не исключает распространение на отношения между потерпевшим и лицом, причинившим вред, общих норм Гражданского кодекса Российской Федерации об обязательствах вследствие причинения вреда. Следовательно, потерпевший при недостаточности страховой выплаты на покрытие причиненного ему фактического ущерба вправе рассчитывать на восполнение образовавшейся разницы за счет лица, в результате противоправных действий которого образовался этот ущерб, путем предъявления к нему соответствующего требования. В противном случае - вопреки направленности правового регулирования деликтных обязательств - ограничивалось бы право граждан на возмещение вреда, причиненного им при использовании иными лицами транспортных средств.</w:t>
      </w:r>
    </w:p>
    <w:p>
      <w:pPr>
        <w:pStyle w:val="0"/>
        <w:spacing w:before="200" w:line-rule="auto"/>
        <w:ind w:firstLine="540"/>
        <w:jc w:val="both"/>
      </w:pPr>
      <w:r>
        <w:rPr>
          <w:sz w:val="20"/>
        </w:rPr>
        <w:t xml:space="preserve">Реализация потерпевшим права на получение страхового возмещения в форме страховой выплаты, в том числе и в случае, предусмотренном </w:t>
      </w:r>
      <w:r>
        <w:rPr>
          <w:sz w:val="20"/>
        </w:rPr>
        <w:t xml:space="preserve">подпунктом "ж" пункта 16.1 статьи 12</w:t>
      </w:r>
      <w:r>
        <w:rPr>
          <w:sz w:val="20"/>
        </w:rPr>
        <w:t xml:space="preserve"> Закона об ОСАГО, является правомерным поведением и соответствует целям принятия </w:t>
      </w:r>
      <w:r>
        <w:rPr>
          <w:sz w:val="20"/>
        </w:rPr>
        <w:t xml:space="preserve">Закона</w:t>
      </w:r>
      <w:r>
        <w:rPr>
          <w:sz w:val="20"/>
        </w:rPr>
        <w:t xml:space="preserve"> об ОСАГО, а, следовательно, сама по себе не может расцениваться как злоупотребление правом, и ограничивать право потерпевшего на полное возмещение убытков причинителем вреда.</w:t>
      </w:r>
    </w:p>
    <w:p>
      <w:pPr>
        <w:pStyle w:val="0"/>
        <w:spacing w:before="200" w:line-rule="auto"/>
        <w:ind w:firstLine="540"/>
        <w:jc w:val="both"/>
      </w:pPr>
      <w:r>
        <w:rPr>
          <w:sz w:val="20"/>
        </w:rPr>
        <w:t xml:space="preserve">При этом лицо, к которому потерпевшим предъявлены требования о возмещении разницы между страховой выплатой и фактическим размером причиненного ущерба, не лишено права ходатайствовать о назначении соответствующей судебной экспертизы, о снижении размера возмещения и выдвигать иные возражения.</w:t>
      </w:r>
    </w:p>
    <w:p>
      <w:pPr>
        <w:pStyle w:val="0"/>
        <w:spacing w:before="200" w:line-rule="auto"/>
        <w:ind w:firstLine="540"/>
        <w:jc w:val="both"/>
      </w:pPr>
      <w:r>
        <w:rPr>
          <w:sz w:val="20"/>
        </w:rPr>
        <w:t xml:space="preserve">Ответчик Р. ни в суде первой инстанции, ни в суде апелляционной инстанции не ходатайствовал о назначении по делу судебной экспертизы. Вину в ДТП и размер ущерба не оспаривал, доказательства иного размера ущерба в материалы дела не представил. В судебном заседании суда апелляционной инстанции представитель ответчика Р. - У. подтвердила правильность размера страхового возмещения, его не оспаривала.</w:t>
      </w:r>
    </w:p>
    <w:p>
      <w:pPr>
        <w:pStyle w:val="0"/>
        <w:spacing w:before="200" w:line-rule="auto"/>
        <w:ind w:firstLine="540"/>
        <w:jc w:val="both"/>
      </w:pPr>
      <w:r>
        <w:rPr>
          <w:sz w:val="20"/>
        </w:rPr>
        <w:t xml:space="preserve">Утверждение Р. о том, что взысканная сумма ущерба без учета износа ведет к неосновательному обогащению истца за счет ответчика, подлежит отклонению, поскольку ответчик не представил доказательства наличия возможности восстановить автомобиль истца за меньшую денежную сумму.</w:t>
      </w:r>
    </w:p>
    <w:p>
      <w:pPr>
        <w:pStyle w:val="0"/>
        <w:spacing w:before="200" w:line-rule="auto"/>
        <w:ind w:firstLine="540"/>
        <w:jc w:val="both"/>
      </w:pPr>
      <w:r>
        <w:rPr>
          <w:sz w:val="20"/>
        </w:rPr>
        <w:t xml:space="preserve">Иных доводов и указаний на обстоятельства, способные повлиять на существо принятого по делу решения, апелляционная жалоба не содержит. Юридически значимые обстоятельства определены и установлены судом правильно; нормы материального права судом истолкованы и применены правильно, судом дана верная оценка доказательствам, в связи с чем, доводы апелляционной жалобы являются необоснованными.</w:t>
      </w:r>
    </w:p>
    <w:p>
      <w:pPr>
        <w:pStyle w:val="0"/>
        <w:spacing w:before="200" w:line-rule="auto"/>
        <w:ind w:firstLine="540"/>
        <w:jc w:val="both"/>
      </w:pPr>
      <w:r>
        <w:rPr>
          <w:sz w:val="20"/>
        </w:rPr>
        <w:t xml:space="preserve">Руководствуясь </w:t>
      </w:r>
      <w:r>
        <w:rPr>
          <w:sz w:val="20"/>
        </w:rPr>
        <w:t xml:space="preserve">ст. 328</w:t>
      </w:r>
      <w:r>
        <w:rPr>
          <w:sz w:val="20"/>
        </w:rPr>
        <w:t xml:space="preserve"> - </w:t>
      </w:r>
      <w:r>
        <w:rPr>
          <w:sz w:val="20"/>
        </w:rPr>
        <w:t xml:space="preserve">330</w:t>
      </w:r>
      <w:r>
        <w:rPr>
          <w:sz w:val="20"/>
        </w:rPr>
        <w:t xml:space="preserve"> Гражданского процессуального кодекса Российской Федерации, судебная коллегия</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Решение</w:t>
      </w:r>
      <w:r>
        <w:rPr>
          <w:sz w:val="20"/>
        </w:rPr>
        <w:t xml:space="preserve"> Миасского городского суда Челябинской области от 05 мая 2022 года оставить без изменения, апелляционную жалобу Р. - без удовлетворения.</w:t>
      </w:r>
    </w:p>
    <w:p>
      <w:pPr>
        <w:pStyle w:val="0"/>
        <w:spacing w:before="200" w:line-rule="auto"/>
        <w:ind w:firstLine="540"/>
        <w:jc w:val="both"/>
      </w:pPr>
      <w:r>
        <w:rPr>
          <w:sz w:val="20"/>
        </w:rPr>
        <w:t xml:space="preserve">Мотивированное апелляционное определение изготовлено 18.08.2022.</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Апелляционное определение Челябинского областного суда от 11.08.2022 N 11-9516/2022 по делу N 2-627/2022</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Апелляционное определение Челябинского областного суда от 11.08.2022 N 11-9516/2022 по делу N 2-627/2022
Категория спора: Причинение вреда имуществу.
Требования потерпевшего: О возмещении реального ущерба в связи с ДТП.
Обстоятельства: Истец указал на то, что, поскольку суммы выплаченного страхового возмещения недостаточно для возмещения ущерба в полном объеме, ущерб в невозмещенной сумме подлежит взысканию с ответчика.
Решение: Удовлетворено.
Процессуальные вопросы: О возмещении расходов на проведение эксп</dc:title>
  <dcterms:created xsi:type="dcterms:W3CDTF">2023-05-25T09:12:06Z</dcterms:created>
</cp:coreProperties>
</file>